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53C3" w:rsidRDefault="00DA53C3">
      <w:pPr>
        <w:spacing w:after="0" w:line="240" w:lineRule="auto"/>
        <w:rPr>
          <w:sz w:val="28"/>
          <w:szCs w:val="28"/>
        </w:rPr>
      </w:pPr>
    </w:p>
    <w:p w:rsidR="0026219B" w:rsidRDefault="0026219B">
      <w:pPr>
        <w:spacing w:after="0" w:line="240" w:lineRule="auto"/>
        <w:rPr>
          <w:sz w:val="28"/>
          <w:szCs w:val="28"/>
        </w:rPr>
      </w:pPr>
      <w:r>
        <w:rPr>
          <w:noProof/>
        </w:rPr>
        <w:drawing>
          <wp:inline distT="0" distB="0" distL="0" distR="0">
            <wp:extent cx="6209665" cy="8782685"/>
            <wp:effectExtent l="0" t="0" r="63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782685"/>
                    </a:xfrm>
                    <a:prstGeom prst="rect">
                      <a:avLst/>
                    </a:prstGeom>
                    <a:noFill/>
                    <a:ln>
                      <a:noFill/>
                    </a:ln>
                  </pic:spPr>
                </pic:pic>
              </a:graphicData>
            </a:graphic>
          </wp:inline>
        </w:drawing>
      </w:r>
    </w:p>
    <w:p w:rsidR="0026219B" w:rsidRDefault="0026219B">
      <w:pPr>
        <w:spacing w:after="0" w:line="240" w:lineRule="auto"/>
        <w:rPr>
          <w:sz w:val="28"/>
          <w:szCs w:val="28"/>
        </w:rPr>
      </w:pPr>
    </w:p>
    <w:p w:rsidR="0026219B" w:rsidRDefault="0026219B">
      <w:pPr>
        <w:spacing w:after="240"/>
        <w:jc w:val="center"/>
        <w:rPr>
          <w:rFonts w:ascii="Times New Roman" w:eastAsia="Times New Roman" w:hAnsi="Times New Roman" w:cs="Times New Roman"/>
          <w:b/>
          <w:sz w:val="28"/>
          <w:szCs w:val="28"/>
        </w:rPr>
      </w:pPr>
    </w:p>
    <w:p w:rsidR="00DA53C3" w:rsidRDefault="00000000">
      <w:pPr>
        <w:spacing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Obiectivele propuse pentru anul de studii  de studii 2022-2023</w:t>
      </w:r>
    </w:p>
    <w:p w:rsidR="00DA53C3" w:rsidRDefault="00000000">
      <w:pPr>
        <w:ind w:left="142" w:firstLine="42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În vederea formării profesionale continuă</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adulților</w:t>
      </w:r>
      <w:r>
        <w:rPr>
          <w:rFonts w:ascii="Times New Roman" w:eastAsia="Times New Roman" w:hAnsi="Times New Roman" w:cs="Times New Roman"/>
          <w:color w:val="000000"/>
          <w:sz w:val="24"/>
          <w:szCs w:val="24"/>
        </w:rPr>
        <w:t>, revin următoarele atribuţii:</w:t>
      </w:r>
    </w:p>
    <w:p w:rsidR="00DA53C3" w:rsidRDefault="00000000">
      <w:pPr>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organizarea cursurilor de formare profesională continuă a </w:t>
      </w:r>
      <w:r>
        <w:rPr>
          <w:rFonts w:ascii="Times New Roman" w:eastAsia="Times New Roman" w:hAnsi="Times New Roman" w:cs="Times New Roman"/>
          <w:sz w:val="24"/>
          <w:szCs w:val="24"/>
        </w:rPr>
        <w:t xml:space="preserve">adulților </w:t>
      </w:r>
      <w:r>
        <w:rPr>
          <w:rFonts w:ascii="Times New Roman" w:eastAsia="Times New Roman" w:hAnsi="Times New Roman" w:cs="Times New Roman"/>
          <w:color w:val="000000"/>
          <w:sz w:val="24"/>
          <w:szCs w:val="24"/>
        </w:rPr>
        <w:t>în domen</w:t>
      </w:r>
      <w:r>
        <w:rPr>
          <w:rFonts w:ascii="Times New Roman" w:eastAsia="Times New Roman" w:hAnsi="Times New Roman" w:cs="Times New Roman"/>
          <w:sz w:val="24"/>
          <w:szCs w:val="24"/>
        </w:rPr>
        <w:t xml:space="preserve">iile stipulate în Regulamentul formare continuă a adulților, </w:t>
      </w:r>
      <w:r>
        <w:rPr>
          <w:rFonts w:ascii="Times New Roman" w:eastAsia="Times New Roman" w:hAnsi="Times New Roman" w:cs="Times New Roman"/>
          <w:color w:val="000000"/>
          <w:sz w:val="24"/>
          <w:szCs w:val="24"/>
        </w:rPr>
        <w:t xml:space="preserve"> și </w:t>
      </w:r>
      <w:r>
        <w:rPr>
          <w:rFonts w:ascii="Times New Roman" w:eastAsia="Times New Roman" w:hAnsi="Times New Roman" w:cs="Times New Roman"/>
          <w:sz w:val="24"/>
          <w:szCs w:val="24"/>
        </w:rPr>
        <w:t>unități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economice</w:t>
      </w:r>
      <w:r>
        <w:rPr>
          <w:rFonts w:ascii="Times New Roman" w:eastAsia="Times New Roman" w:hAnsi="Times New Roman" w:cs="Times New Roman"/>
          <w:color w:val="000000"/>
          <w:sz w:val="24"/>
          <w:szCs w:val="24"/>
        </w:rPr>
        <w:t>;  </w:t>
      </w:r>
    </w:p>
    <w:p w:rsidR="00DA53C3" w:rsidRDefault="00000000">
      <w:pPr>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facilitarea stagiilor de practică a </w:t>
      </w:r>
      <w:r>
        <w:rPr>
          <w:rFonts w:ascii="Times New Roman" w:eastAsia="Times New Roman" w:hAnsi="Times New Roman" w:cs="Times New Roman"/>
          <w:sz w:val="24"/>
          <w:szCs w:val="24"/>
        </w:rPr>
        <w:t>adulților în cadrul ȘP Bubuieci</w:t>
      </w:r>
      <w:r>
        <w:rPr>
          <w:rFonts w:ascii="Times New Roman" w:eastAsia="Times New Roman" w:hAnsi="Times New Roman" w:cs="Times New Roman"/>
          <w:color w:val="000000"/>
          <w:sz w:val="24"/>
          <w:szCs w:val="24"/>
        </w:rPr>
        <w:t xml:space="preserve"> și în cadrul sectorului real; </w:t>
      </w:r>
    </w:p>
    <w:p w:rsidR="00DA53C3" w:rsidRDefault="00000000">
      <w:pPr>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facilitarea mobilității academice a cadrelor instituțiilor </w:t>
      </w:r>
      <w:r>
        <w:rPr>
          <w:rFonts w:ascii="Times New Roman" w:eastAsia="Times New Roman" w:hAnsi="Times New Roman" w:cs="Times New Roman"/>
          <w:sz w:val="24"/>
          <w:szCs w:val="24"/>
        </w:rPr>
        <w:t>învățământului</w:t>
      </w:r>
      <w:r>
        <w:rPr>
          <w:rFonts w:ascii="Times New Roman" w:eastAsia="Times New Roman" w:hAnsi="Times New Roman" w:cs="Times New Roman"/>
          <w:color w:val="000000"/>
          <w:sz w:val="24"/>
          <w:szCs w:val="24"/>
        </w:rPr>
        <w:t xml:space="preserve"> profesional în cadrul </w:t>
      </w:r>
      <w:r>
        <w:rPr>
          <w:rFonts w:ascii="Times New Roman" w:eastAsia="Times New Roman" w:hAnsi="Times New Roman" w:cs="Times New Roman"/>
          <w:sz w:val="24"/>
          <w:szCs w:val="24"/>
        </w:rPr>
        <w:t>ȘP Bubuieci</w:t>
      </w:r>
      <w:r>
        <w:rPr>
          <w:rFonts w:ascii="Times New Roman" w:eastAsia="Times New Roman" w:hAnsi="Times New Roman" w:cs="Times New Roman"/>
          <w:color w:val="000000"/>
          <w:sz w:val="24"/>
          <w:szCs w:val="24"/>
        </w:rPr>
        <w:t xml:space="preserve"> în scopul transferului de bune practici și capacități didactice și manageriale, prin stabilirea relațiilor de parteneriat.</w:t>
      </w:r>
    </w:p>
    <w:p w:rsidR="00DA53C3" w:rsidRDefault="00000000">
      <w:pPr>
        <w:numPr>
          <w:ilvl w:val="0"/>
          <w:numId w:val="1"/>
        </w:numPr>
        <w:pBdr>
          <w:top w:val="nil"/>
          <w:left w:val="nil"/>
          <w:bottom w:val="nil"/>
          <w:right w:val="nil"/>
          <w:between w:val="nil"/>
        </w:pBdr>
        <w:spacing w:after="0"/>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facilitarea mobilității academice a elevilor </w:t>
      </w:r>
      <w:r>
        <w:rPr>
          <w:rFonts w:ascii="Times New Roman" w:eastAsia="Times New Roman" w:hAnsi="Times New Roman" w:cs="Times New Roman"/>
          <w:sz w:val="24"/>
          <w:szCs w:val="24"/>
        </w:rPr>
        <w:t>ȘP Bubuieci</w:t>
      </w:r>
      <w:r>
        <w:rPr>
          <w:rFonts w:ascii="Times New Roman" w:eastAsia="Times New Roman" w:hAnsi="Times New Roman" w:cs="Times New Roman"/>
          <w:color w:val="000000"/>
          <w:sz w:val="24"/>
          <w:szCs w:val="24"/>
        </w:rPr>
        <w:t xml:space="preserve"> în scopul transferului de bune practici, abilităților practice și cunoștințe, prin stabilirea relațiilor de parteneriat </w:t>
      </w:r>
      <w:r>
        <w:rPr>
          <w:rFonts w:ascii="Times New Roman" w:eastAsia="Times New Roman" w:hAnsi="Times New Roman" w:cs="Times New Roman"/>
          <w:sz w:val="24"/>
          <w:szCs w:val="24"/>
        </w:rPr>
        <w:t>academic, social, cultural</w:t>
      </w:r>
      <w:r>
        <w:rPr>
          <w:rFonts w:ascii="Times New Roman" w:eastAsia="Times New Roman" w:hAnsi="Times New Roman" w:cs="Times New Roman"/>
          <w:color w:val="000000"/>
          <w:sz w:val="24"/>
          <w:szCs w:val="24"/>
        </w:rPr>
        <w:t>.</w:t>
      </w:r>
    </w:p>
    <w:p w:rsidR="00DA53C3" w:rsidRDefault="00DA53C3">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DA53C3"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Activitățile de Formare Continuă sunt următoarele :</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adaptarea ofertei educaţionale a </w:t>
      </w:r>
      <w:r>
        <w:rPr>
          <w:rFonts w:ascii="Times New Roman" w:eastAsia="Times New Roman" w:hAnsi="Times New Roman" w:cs="Times New Roman"/>
          <w:sz w:val="24"/>
          <w:szCs w:val="24"/>
        </w:rPr>
        <w:t>ȘP Bubuieci</w:t>
      </w:r>
      <w:r>
        <w:rPr>
          <w:rFonts w:ascii="Times New Roman" w:eastAsia="Times New Roman" w:hAnsi="Times New Roman" w:cs="Times New Roman"/>
          <w:color w:val="000000"/>
          <w:sz w:val="24"/>
          <w:szCs w:val="24"/>
        </w:rPr>
        <w:t xml:space="preserve"> la cerinţele pieţei muncii; </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organizarea de programe de formare profesională continuă către comunitate, în funcţie de solicitările mediului extern şi în conformitate cu reglementările legale în vigoare; </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actualizarea și dezvoltarea, prin programe de formare/perfecționare periodică, a competențelor în domeniul/domeniile de specialitate corespunzător funcțiilor </w:t>
      </w:r>
      <w:r>
        <w:rPr>
          <w:rFonts w:ascii="Times New Roman" w:eastAsia="Times New Roman" w:hAnsi="Times New Roman" w:cs="Times New Roman"/>
          <w:sz w:val="24"/>
          <w:szCs w:val="24"/>
        </w:rPr>
        <w:t xml:space="preserve">profesionale </w:t>
      </w:r>
      <w:r>
        <w:rPr>
          <w:rFonts w:ascii="Times New Roman" w:eastAsia="Times New Roman" w:hAnsi="Times New Roman" w:cs="Times New Roman"/>
          <w:color w:val="000000"/>
          <w:sz w:val="24"/>
          <w:szCs w:val="24"/>
        </w:rPr>
        <w:t>obținute prin formarea inițială;</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dobândirea unor competențe, complementare sau de extensie, care lărgesc gama activităților și funcțiilor ce pot fi prestate de personalul didactic: consiliere educațională și orientare în carieră, educația adulților </w:t>
      </w:r>
      <w:r>
        <w:rPr>
          <w:rFonts w:ascii="Times New Roman" w:eastAsia="Times New Roman" w:hAnsi="Times New Roman" w:cs="Times New Roman"/>
          <w:sz w:val="24"/>
          <w:szCs w:val="24"/>
        </w:rPr>
        <w:t>ș</w:t>
      </w:r>
      <w:r>
        <w:rPr>
          <w:rFonts w:ascii="Times New Roman" w:eastAsia="Times New Roman" w:hAnsi="Times New Roman" w:cs="Times New Roman"/>
          <w:color w:val="000000"/>
          <w:sz w:val="24"/>
          <w:szCs w:val="24"/>
        </w:rPr>
        <w:t>.a.</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dezvoltarea și extinderea competențelor transversale privind rolurile sociale și dezvoltarea personală și profesională, interacțiunea și comunicarea cu mediul social și cu mediul pedagogic, asumarea de responsabilități privind organizarea, conducerea și îmbunătățirea performanței strategice a grupurilor profesionale, autocontrolul și analiza reflexivă a propriei activități </w:t>
      </w:r>
      <w:r>
        <w:rPr>
          <w:rFonts w:ascii="Times New Roman" w:eastAsia="Times New Roman" w:hAnsi="Times New Roman" w:cs="Times New Roman"/>
          <w:sz w:val="24"/>
          <w:szCs w:val="24"/>
        </w:rPr>
        <w:t>ș</w:t>
      </w:r>
      <w:r>
        <w:rPr>
          <w:rFonts w:ascii="Times New Roman" w:eastAsia="Times New Roman" w:hAnsi="Times New Roman" w:cs="Times New Roman"/>
          <w:color w:val="000000"/>
          <w:sz w:val="24"/>
          <w:szCs w:val="24"/>
        </w:rPr>
        <w:t>.a.</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dezvoltarea unor relaţii de colaborare cu alte centre similare de învăţământ din ţară şi străinătate;</w:t>
      </w:r>
    </w:p>
    <w:p w:rsidR="00DA53C3" w:rsidRDefault="00000000">
      <w:pPr>
        <w:numPr>
          <w:ilvl w:val="1"/>
          <w:numId w:val="1"/>
        </w:numPr>
        <w:pBdr>
          <w:top w:val="nil"/>
          <w:left w:val="nil"/>
          <w:bottom w:val="nil"/>
          <w:right w:val="nil"/>
          <w:between w:val="nil"/>
        </w:pBdr>
        <w:spacing w:after="0" w:line="36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asigur</w:t>
      </w:r>
      <w:r>
        <w:rPr>
          <w:rFonts w:ascii="Times New Roman" w:eastAsia="Times New Roman" w:hAnsi="Times New Roman" w:cs="Times New Roman"/>
          <w:sz w:val="24"/>
          <w:szCs w:val="24"/>
        </w:rPr>
        <w:t>area</w:t>
      </w:r>
      <w:r>
        <w:rPr>
          <w:rFonts w:ascii="Times New Roman" w:eastAsia="Times New Roman" w:hAnsi="Times New Roman" w:cs="Times New Roman"/>
          <w:color w:val="000000"/>
          <w:sz w:val="24"/>
          <w:szCs w:val="24"/>
        </w:rPr>
        <w:t xml:space="preserve"> condițiilor adecvate de prestare a serviciilor de </w:t>
      </w:r>
      <w:r>
        <w:rPr>
          <w:rFonts w:ascii="Times New Roman" w:eastAsia="Times New Roman" w:hAnsi="Times New Roman" w:cs="Times New Roman"/>
          <w:sz w:val="24"/>
          <w:szCs w:val="24"/>
        </w:rPr>
        <w:t>formare și dezvoltare</w:t>
      </w:r>
      <w:r>
        <w:rPr>
          <w:rFonts w:ascii="Times New Roman" w:eastAsia="Times New Roman" w:hAnsi="Times New Roman" w:cs="Times New Roman"/>
          <w:color w:val="000000"/>
          <w:sz w:val="24"/>
          <w:szCs w:val="24"/>
        </w:rPr>
        <w:t xml:space="preserve"> a competențelor </w:t>
      </w:r>
      <w:r>
        <w:rPr>
          <w:rFonts w:ascii="Times New Roman" w:eastAsia="Times New Roman" w:hAnsi="Times New Roman" w:cs="Times New Roman"/>
          <w:sz w:val="24"/>
          <w:szCs w:val="24"/>
        </w:rPr>
        <w:t>dobândite</w:t>
      </w:r>
      <w:r>
        <w:rPr>
          <w:rFonts w:ascii="Times New Roman" w:eastAsia="Times New Roman" w:hAnsi="Times New Roman" w:cs="Times New Roman"/>
          <w:color w:val="000000"/>
          <w:sz w:val="24"/>
          <w:szCs w:val="24"/>
        </w:rPr>
        <w:t xml:space="preserve"> în </w:t>
      </w:r>
      <w:r>
        <w:rPr>
          <w:rFonts w:ascii="Times New Roman" w:eastAsia="Times New Roman" w:hAnsi="Times New Roman" w:cs="Times New Roman"/>
          <w:sz w:val="24"/>
          <w:szCs w:val="24"/>
        </w:rPr>
        <w:t>context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nonformal</w:t>
      </w:r>
      <w:r>
        <w:rPr>
          <w:rFonts w:ascii="Times New Roman" w:eastAsia="Times New Roman" w:hAnsi="Times New Roman" w:cs="Times New Roman"/>
          <w:color w:val="000000"/>
          <w:sz w:val="24"/>
          <w:szCs w:val="24"/>
        </w:rPr>
        <w:t xml:space="preserve"> și informal.</w:t>
      </w:r>
    </w:p>
    <w:p w:rsidR="00DA53C3" w:rsidRDefault="00000000">
      <w:pPr>
        <w:spacing w:before="240" w:after="3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Pentru a atinge obiectivele propuse, sunt planificate un șir  de activități indicate în programul de activitate .</w:t>
      </w:r>
    </w:p>
    <w:p w:rsidR="00DA53C3" w:rsidRDefault="00DA53C3">
      <w:pPr>
        <w:spacing w:after="0" w:line="360" w:lineRule="auto"/>
        <w:jc w:val="center"/>
        <w:rPr>
          <w:b/>
          <w:sz w:val="48"/>
          <w:szCs w:val="48"/>
        </w:rPr>
      </w:pPr>
    </w:p>
    <w:p w:rsidR="00DA53C3" w:rsidRDefault="00DA53C3">
      <w:pPr>
        <w:spacing w:after="0" w:line="360" w:lineRule="auto"/>
        <w:jc w:val="center"/>
        <w:rPr>
          <w:b/>
          <w:sz w:val="48"/>
          <w:szCs w:val="48"/>
        </w:rPr>
      </w:pPr>
    </w:p>
    <w:p w:rsidR="00DA53C3" w:rsidRDefault="00DA53C3">
      <w:pPr>
        <w:spacing w:after="0" w:line="360" w:lineRule="auto"/>
        <w:jc w:val="center"/>
        <w:rPr>
          <w:b/>
          <w:sz w:val="48"/>
          <w:szCs w:val="48"/>
        </w:rPr>
      </w:pPr>
    </w:p>
    <w:p w:rsidR="00DA53C3" w:rsidRDefault="00000000">
      <w:pPr>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Planul de activitate</w:t>
      </w:r>
    </w:p>
    <w:p w:rsidR="00DA53C3"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 formare continuă</w:t>
      </w:r>
    </w:p>
    <w:p w:rsidR="00DA53C3" w:rsidRDefault="0000000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din cadrul ȘP Bubuieci</w:t>
      </w:r>
    </w:p>
    <w:p w:rsidR="00DA53C3"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28"/>
          <w:szCs w:val="28"/>
        </w:rPr>
        <w:t>Pentru anul 2022-2023</w:t>
      </w:r>
    </w:p>
    <w:tbl>
      <w:tblPr>
        <w:tblStyle w:val="ad"/>
        <w:tblW w:w="1014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570"/>
        <w:gridCol w:w="6660"/>
        <w:gridCol w:w="1980"/>
      </w:tblGrid>
      <w:tr w:rsidR="00DA53C3">
        <w:trPr>
          <w:jc w:val="right"/>
        </w:trPr>
        <w:tc>
          <w:tcPr>
            <w:tcW w:w="930" w:type="dxa"/>
            <w:shd w:val="clear" w:color="auto" w:fill="D9D9D9"/>
          </w:tcPr>
          <w:p w:rsidR="00DA53C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Luna</w:t>
            </w:r>
          </w:p>
        </w:tc>
        <w:tc>
          <w:tcPr>
            <w:tcW w:w="570" w:type="dxa"/>
            <w:shd w:val="clear" w:color="auto" w:fill="D9D9D9"/>
            <w:vAlign w:val="center"/>
          </w:tcPr>
          <w:p w:rsidR="00DA53C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Nr.</w:t>
            </w:r>
          </w:p>
        </w:tc>
        <w:tc>
          <w:tcPr>
            <w:tcW w:w="6660" w:type="dxa"/>
            <w:shd w:val="clear" w:color="auto" w:fill="D9D9D9"/>
            <w:vAlign w:val="center"/>
          </w:tcPr>
          <w:p w:rsidR="00DA53C3"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Acțiunea planificată</w:t>
            </w:r>
          </w:p>
        </w:tc>
        <w:tc>
          <w:tcPr>
            <w:tcW w:w="1980" w:type="dxa"/>
            <w:shd w:val="clear" w:color="auto" w:fill="D9D9D9"/>
            <w:vAlign w:val="center"/>
          </w:tcPr>
          <w:p w:rsidR="00DA53C3"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w:t>
            </w:r>
          </w:p>
        </w:tc>
      </w:tr>
      <w:tr w:rsidR="00DA53C3">
        <w:trPr>
          <w:trHeight w:val="520"/>
          <w:jc w:val="right"/>
        </w:trPr>
        <w:tc>
          <w:tcPr>
            <w:tcW w:w="930" w:type="dxa"/>
            <w:vMerge w:val="restart"/>
            <w:vAlign w:val="center"/>
          </w:tcPr>
          <w:p w:rsidR="00DA53C3" w:rsidRDefault="00000000">
            <w:pPr>
              <w:ind w:left="113"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Septembrie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Planificarea activităților de formare continuă pentru anul de studii 2022-2023.</w:t>
            </w:r>
          </w:p>
        </w:tc>
        <w:tc>
          <w:tcPr>
            <w:tcW w:w="1980" w:type="dxa"/>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387"/>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Elaborarea materialelor de prezentare ȘP Bubuieci pentru instituțiile ÎPT de peste hotare.</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381"/>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Elaborarea planului de realizare a cursurilor de formare continuă.</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DAIP</w:t>
            </w:r>
          </w:p>
        </w:tc>
      </w:tr>
      <w:tr w:rsidR="00DA53C3">
        <w:trPr>
          <w:trHeight w:val="481"/>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Evaluarea și identificarea necesităților de instruire</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493"/>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Planificarea activităților de parteneriat  cu instituțiile, unitățile economice din mun.Chișinău și raioanele țării  pentru anul 2022-2023</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363"/>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Participarea la mese rotunde, ateliere de lucru, cu scopul promovării imaginii instituției ȘP Bubuieci și a formării continue pentru adulți.</w:t>
            </w:r>
            <w:r>
              <w:rPr>
                <w:rFonts w:ascii="Times New Roman" w:eastAsia="Times New Roman" w:hAnsi="Times New Roman" w:cs="Times New Roman"/>
                <w:sz w:val="28"/>
                <w:szCs w:val="28"/>
              </w:rPr>
              <w:t xml:space="preserve"> </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DAIP</w:t>
            </w:r>
          </w:p>
        </w:tc>
      </w:tr>
      <w:tr w:rsidR="00DA53C3">
        <w:trPr>
          <w:trHeight w:val="558"/>
          <w:jc w:val="right"/>
        </w:trPr>
        <w:tc>
          <w:tcPr>
            <w:tcW w:w="930" w:type="dxa"/>
            <w:vMerge w:val="restart"/>
            <w:vAlign w:val="center"/>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Oc</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t</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omb</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r</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28"/>
                <w:szCs w:val="28"/>
              </w:rPr>
            </w:pPr>
            <w:r>
              <w:rPr>
                <w:rFonts w:ascii="Times New Roman" w:eastAsia="Times New Roman" w:hAnsi="Times New Roman" w:cs="Times New Roman"/>
                <w:sz w:val="44"/>
                <w:szCs w:val="44"/>
              </w:rPr>
              <w:t>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t>Masterclass desfașurat de agenții economici SRL ,,Trattoria”</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Agenți economici</w:t>
            </w:r>
          </w:p>
        </w:tc>
      </w:tr>
      <w:tr w:rsidR="00DA53C3">
        <w:trPr>
          <w:trHeight w:val="1134"/>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Elaborarea programelor de formare continuă a adulților (calificare, recalificare, perfecționare) prin intermediul Cabinetului Metodic ȘP Bubuieci.</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372"/>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Încheierea contractelor de colaborare dintre ȘP Bubuieci  și școli profesionale, unitățile economice și instituții de stat implicate în ramură și alte instituții.</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adjunct pentru instruire și producere</w:t>
            </w:r>
          </w:p>
        </w:tc>
      </w:tr>
      <w:tr w:rsidR="00DA53C3">
        <w:trPr>
          <w:trHeight w:val="654"/>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8"/>
                <w:szCs w:val="28"/>
              </w:rPr>
            </w:pPr>
            <w:r>
              <w:rPr>
                <w:rFonts w:ascii="Times New Roman" w:eastAsia="Times New Roman" w:hAnsi="Times New Roman" w:cs="Times New Roman"/>
                <w:sz w:val="24"/>
                <w:szCs w:val="24"/>
              </w:rPr>
              <w:t>Participarea formatorilor la cursuri și stagii de pregătire profesională, atât în țară cât și în străinătate.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DAIP</w:t>
            </w:r>
          </w:p>
        </w:tc>
      </w:tr>
      <w:tr w:rsidR="00DA53C3">
        <w:trPr>
          <w:trHeight w:val="666"/>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Participarea la mese rotunde, ateliere de lucru, cu scopul promovării imaginii instituției ȘP Bubuieci și a formării continue a adulților.</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DAIP</w:t>
            </w:r>
          </w:p>
        </w:tc>
      </w:tr>
      <w:tr w:rsidR="00DA53C3">
        <w:trPr>
          <w:trHeight w:val="537"/>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Participarea la zilele Patrimoniului European.</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DAIE</w:t>
            </w:r>
          </w:p>
        </w:tc>
      </w:tr>
      <w:tr w:rsidR="00DA53C3">
        <w:trPr>
          <w:trHeight w:val="537"/>
          <w:jc w:val="right"/>
        </w:trPr>
        <w:tc>
          <w:tcPr>
            <w:tcW w:w="930" w:type="dxa"/>
            <w:vMerge/>
            <w:vAlign w:val="center"/>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a adulților</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Formatori</w:t>
            </w:r>
          </w:p>
        </w:tc>
      </w:tr>
      <w:tr w:rsidR="00DA53C3">
        <w:trPr>
          <w:trHeight w:val="499"/>
          <w:jc w:val="right"/>
        </w:trPr>
        <w:tc>
          <w:tcPr>
            <w:tcW w:w="930" w:type="dxa"/>
            <w:vMerge w:val="restart"/>
            <w:tcBorders>
              <w:top w:val="single" w:sz="4" w:space="0" w:color="000000"/>
            </w:tcBorders>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No</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lastRenderedPageBreak/>
              <w:t>i</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emb</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r</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28"/>
                <w:szCs w:val="28"/>
              </w:rPr>
            </w:pPr>
            <w:r>
              <w:rPr>
                <w:rFonts w:ascii="Times New Roman" w:eastAsia="Times New Roman" w:hAnsi="Times New Roman" w:cs="Times New Roman"/>
                <w:sz w:val="44"/>
                <w:szCs w:val="44"/>
              </w:rPr>
              <w:t>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Încheierea contractelor de colaborare dintre ȘP Bubuieci și școli profesionale, unitățile economice și instituții de stat implicate în ramură și alte domenii.</w:t>
            </w:r>
          </w:p>
        </w:tc>
        <w:tc>
          <w:tcPr>
            <w:tcW w:w="1980" w:type="dxa"/>
            <w:tcBorders>
              <w:bottom w:val="single" w:sz="4" w:space="0" w:color="000000"/>
            </w:tcBorders>
          </w:tcPr>
          <w:p w:rsidR="00DA53C3" w:rsidRDefault="00000000">
            <w:pPr>
              <w:rPr>
                <w:rFonts w:ascii="Times New Roman" w:eastAsia="Times New Roman" w:hAnsi="Times New Roman" w:cs="Times New Roman"/>
                <w:b/>
              </w:rPr>
            </w:pPr>
            <w:r>
              <w:rPr>
                <w:rFonts w:ascii="Times New Roman" w:eastAsia="Times New Roman" w:hAnsi="Times New Roman" w:cs="Times New Roman"/>
                <w:sz w:val="24"/>
                <w:szCs w:val="24"/>
              </w:rPr>
              <w:t>Șef secție practică</w:t>
            </w:r>
          </w:p>
        </w:tc>
      </w:tr>
      <w:tr w:rsidR="00DA53C3">
        <w:trPr>
          <w:trHeight w:val="1078"/>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Elaborarea programelor de formare  (calificare, recalificare, perfecționare) prin intermediul Secţiei de formare profesională continuă. Certificarea și validarea competențelor.</w:t>
            </w:r>
          </w:p>
        </w:tc>
        <w:tc>
          <w:tcPr>
            <w:tcW w:w="1980" w:type="dxa"/>
            <w:tcBorders>
              <w:top w:val="single" w:sz="4" w:space="0" w:color="000000"/>
            </w:tcBorders>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Prof de specialitate.</w:t>
            </w:r>
          </w:p>
        </w:tc>
      </w:tr>
      <w:tr w:rsidR="00DA53C3">
        <w:trPr>
          <w:trHeight w:val="371"/>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top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tcBorders>
            <w:vAlign w:val="center"/>
          </w:tcPr>
          <w:p w:rsidR="00DA53C3" w:rsidRDefault="00000000">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Organizarea trainingului  </w:t>
            </w:r>
            <w:r>
              <w:rPr>
                <w:rFonts w:ascii="Times New Roman" w:eastAsia="Times New Roman" w:hAnsi="Times New Roman" w:cs="Times New Roman"/>
                <w:sz w:val="24"/>
                <w:szCs w:val="24"/>
                <w:highlight w:val="white"/>
              </w:rPr>
              <w:t>”Proiectarea lecției practice”</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DAIP</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24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Curs de formarea adulților în domeniu </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Formatori</w:t>
            </w:r>
          </w:p>
        </w:tc>
      </w:tr>
      <w:tr w:rsidR="00DA53C3">
        <w:trPr>
          <w:trHeight w:val="367"/>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bottom w:val="single" w:sz="36"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bottom w:val="single" w:sz="36"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Vizite de studiu realizate de profesori la întreprinderile partenere</w:t>
            </w:r>
          </w:p>
        </w:tc>
        <w:tc>
          <w:tcPr>
            <w:tcW w:w="1980" w:type="dxa"/>
            <w:tcBorders>
              <w:bottom w:val="single" w:sz="36"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121"/>
          <w:jc w:val="right"/>
        </w:trPr>
        <w:tc>
          <w:tcPr>
            <w:tcW w:w="930" w:type="dxa"/>
            <w:vMerge w:val="restart"/>
            <w:tcBorders>
              <w:top w:val="single" w:sz="4" w:space="0" w:color="000000"/>
            </w:tcBorders>
          </w:tcPr>
          <w:p w:rsidR="00DA53C3" w:rsidRDefault="00000000">
            <w:pPr>
              <w:ind w:left="113"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Decembr</w:t>
            </w:r>
          </w:p>
          <w:p w:rsidR="00DA53C3" w:rsidRDefault="00000000">
            <w:pPr>
              <w:ind w:left="113"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left="113" w:right="113"/>
              <w:jc w:val="center"/>
              <w:rPr>
                <w:rFonts w:ascii="Times New Roman" w:eastAsia="Times New Roman" w:hAnsi="Times New Roman" w:cs="Times New Roman"/>
                <w:sz w:val="28"/>
                <w:szCs w:val="28"/>
              </w:rPr>
            </w:pPr>
            <w:r>
              <w:rPr>
                <w:rFonts w:ascii="Times New Roman" w:eastAsia="Times New Roman" w:hAnsi="Times New Roman" w:cs="Times New Roman"/>
                <w:sz w:val="44"/>
                <w:szCs w:val="44"/>
              </w:rPr>
              <w:t>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a adulților</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Formatori</w:t>
            </w:r>
          </w:p>
        </w:tc>
      </w:tr>
      <w:tr w:rsidR="00DA53C3">
        <w:trPr>
          <w:trHeight w:val="1171"/>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Elaborarea programelor de formare a adulților  prin intermediul cabinetului metodic. </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Prof de specialitate.</w:t>
            </w:r>
          </w:p>
        </w:tc>
      </w:tr>
      <w:tr w:rsidR="00DA53C3">
        <w:trPr>
          <w:trHeight w:val="562"/>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tcPr>
          <w:p w:rsidR="00DA53C3" w:rsidRDefault="00000000">
            <w:pPr>
              <w:ind w:left="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Organizarea şi desfăşurarea conferinţei anuale </w:t>
            </w:r>
            <w:r>
              <w:rPr>
                <w:rFonts w:ascii="Times New Roman" w:eastAsia="Times New Roman" w:hAnsi="Times New Roman" w:cs="Times New Roman"/>
                <w:sz w:val="24"/>
                <w:szCs w:val="24"/>
              </w:rPr>
              <w:t>științifico-practică</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Șefii  de Comisii Metodice</w:t>
            </w:r>
          </w:p>
        </w:tc>
      </w:tr>
      <w:tr w:rsidR="00DA53C3">
        <w:trPr>
          <w:trHeight w:val="254"/>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Chestionarea și identificarea nevoilor de formare a adulților  la agenții economici.</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311"/>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vederea promovării imaginii ȘP com.Bubuieci și a specialităților. (Concursuri, excursii, lecții model, invitații a experților)</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130"/>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Vizite de studiu realizate de profesori la întreprinderile partenere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75"/>
          <w:jc w:val="right"/>
        </w:trPr>
        <w:tc>
          <w:tcPr>
            <w:tcW w:w="930" w:type="dxa"/>
            <w:vMerge w:val="restart"/>
            <w:tcBorders>
              <w:top w:val="single" w:sz="4" w:space="0" w:color="000000"/>
            </w:tcBorders>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nu</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r</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unui raport privind rezultatele chestionării privind identificarea nevoilor de formare în domeniu.</w:t>
            </w:r>
          </w:p>
          <w:p w:rsidR="00DA53C3" w:rsidRDefault="00DA53C3">
            <w:pPr>
              <w:rPr>
                <w:rFonts w:ascii="Times New Roman" w:eastAsia="Times New Roman" w:hAnsi="Times New Roman" w:cs="Times New Roman"/>
                <w:sz w:val="24"/>
                <w:szCs w:val="24"/>
              </w:rPr>
            </w:pP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DAIP</w:t>
            </w:r>
          </w:p>
        </w:tc>
      </w:tr>
      <w:tr w:rsidR="00DA53C3">
        <w:trPr>
          <w:trHeight w:val="341"/>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programului de training și a materialelor necesare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03"/>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Şedinţe comune cu reprezentanţii unităților economice.</w:t>
            </w:r>
          </w:p>
          <w:p w:rsidR="00DA53C3" w:rsidRDefault="00DA53C3">
            <w:pPr>
              <w:rPr>
                <w:rFonts w:ascii="Times New Roman" w:eastAsia="Times New Roman" w:hAnsi="Times New Roman" w:cs="Times New Roman"/>
                <w:sz w:val="24"/>
                <w:szCs w:val="24"/>
              </w:rPr>
            </w:pP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DAIP</w:t>
            </w:r>
          </w:p>
        </w:tc>
      </w:tr>
      <w:tr w:rsidR="00DA53C3">
        <w:trPr>
          <w:trHeight w:val="564"/>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cadre didactice din școlile profesionale cu tematică conform necesităților</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17"/>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adulți,  cu tematică conform necesităților.</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(calificare, recalificare, perfecționare).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83"/>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Vizite de studiu realizate de profesori la întreprinderile partenere.</w:t>
            </w:r>
          </w:p>
          <w:p w:rsidR="00DA53C3" w:rsidRDefault="00DA53C3">
            <w:pPr>
              <w:rPr>
                <w:rFonts w:ascii="Times New Roman" w:eastAsia="Times New Roman" w:hAnsi="Times New Roman" w:cs="Times New Roman"/>
                <w:sz w:val="28"/>
                <w:szCs w:val="28"/>
              </w:rPr>
            </w:pP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359"/>
          <w:jc w:val="right"/>
        </w:trPr>
        <w:tc>
          <w:tcPr>
            <w:tcW w:w="930" w:type="dxa"/>
            <w:vMerge w:val="restart"/>
            <w:tcBorders>
              <w:top w:val="single" w:sz="4" w:space="0" w:color="000000"/>
            </w:tcBorders>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F</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eb</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r</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uarie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vederea promovării imaginii instituției și a specialităților. (Concursuri, excursii, lecții model, întâlniri cu experți)</w:t>
            </w:r>
          </w:p>
        </w:tc>
        <w:tc>
          <w:tcPr>
            <w:tcW w:w="1980" w:type="dxa"/>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DAIE</w:t>
            </w:r>
          </w:p>
        </w:tc>
      </w:tr>
      <w:tr w:rsidR="00DA53C3">
        <w:trPr>
          <w:trHeight w:val="26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Colaborarea cu unitățile economice în vederea organizării practicii de producție.</w:t>
            </w:r>
          </w:p>
        </w:tc>
        <w:tc>
          <w:tcPr>
            <w:tcW w:w="1980" w:type="dxa"/>
          </w:tcPr>
          <w:p w:rsidR="00DA53C3" w:rsidRDefault="00DA53C3">
            <w:pPr>
              <w:rPr>
                <w:rFonts w:ascii="Times New Roman" w:eastAsia="Times New Roman" w:hAnsi="Times New Roman" w:cs="Times New Roman"/>
                <w:sz w:val="24"/>
                <w:szCs w:val="24"/>
              </w:rPr>
            </w:pP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DAIP</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Șef secție practică</w:t>
            </w:r>
          </w:p>
        </w:tc>
      </w:tr>
      <w:tr w:rsidR="00DA53C3">
        <w:trPr>
          <w:trHeight w:val="41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70" w:type="dxa"/>
            <w:tcBorders>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întâlnirii elevilor anului I cu unitățile economice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60"/>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top w:val="single" w:sz="4" w:space="0" w:color="000000"/>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cadre didactice din școlile profesionale cu tematică conform necesităților</w:t>
            </w:r>
          </w:p>
        </w:tc>
        <w:tc>
          <w:tcPr>
            <w:tcW w:w="1980" w:type="dxa"/>
            <w:tcBorders>
              <w:bottom w:val="single" w:sz="4"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60"/>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adulți,  cu tematică conform necesităților.</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78"/>
          <w:jc w:val="right"/>
        </w:trPr>
        <w:tc>
          <w:tcPr>
            <w:tcW w:w="930" w:type="dxa"/>
            <w:vMerge w:val="restart"/>
            <w:tcBorders>
              <w:top w:val="single" w:sz="4" w:space="0" w:color="000000"/>
            </w:tcBorders>
          </w:tcPr>
          <w:p w:rsidR="00DA53C3" w:rsidRDefault="00000000">
            <w:pPr>
              <w:ind w:left="207"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lastRenderedPageBreak/>
              <w:t>Martie</w:t>
            </w:r>
          </w:p>
        </w:tc>
        <w:tc>
          <w:tcPr>
            <w:tcW w:w="570" w:type="dxa"/>
            <w:tcBorders>
              <w:top w:val="single" w:sz="4" w:space="0" w:color="000000"/>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Desfăşurarea practicilor, lecţiilor, excursiilor la întreprinderi</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9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proiectul de Orientare Profesională (demararea).</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513"/>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trainingului cu mentii ”Tehnici interactive de predare”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DAIP</w:t>
            </w:r>
          </w:p>
        </w:tc>
      </w:tr>
      <w:tr w:rsidR="00DA53C3">
        <w:trPr>
          <w:trHeight w:val="649"/>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mese rotunde, ateliere de lucru, cu scopul promovării imaginii instituției ȘP com.Bubuieci și a secției formării continuă.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377"/>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cadre didactice din școlile profesionale cu tematică conform necesităților</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38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adulți,  cu tematică conform necesităților.</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6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pentru cadrele didactice ȘP com.Bubuieci „Metode interactive de predare”.</w:t>
            </w:r>
          </w:p>
        </w:tc>
        <w:tc>
          <w:tcPr>
            <w:tcW w:w="1980" w:type="dxa"/>
            <w:tcBorders>
              <w:bottom w:val="single" w:sz="4"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DAIP</w:t>
            </w:r>
          </w:p>
        </w:tc>
      </w:tr>
      <w:tr w:rsidR="00DA53C3">
        <w:trPr>
          <w:trHeight w:val="259"/>
          <w:jc w:val="right"/>
        </w:trPr>
        <w:tc>
          <w:tcPr>
            <w:tcW w:w="930" w:type="dxa"/>
            <w:vMerge w:val="restart"/>
            <w:tcBorders>
              <w:top w:val="single" w:sz="4" w:space="0" w:color="000000"/>
            </w:tcBorders>
          </w:tcPr>
          <w:p w:rsidR="00DA53C3" w:rsidRDefault="00000000">
            <w:pPr>
              <w:ind w:left="207"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Apri</w:t>
            </w:r>
          </w:p>
          <w:p w:rsidR="00DA53C3" w:rsidRDefault="00000000">
            <w:pPr>
              <w:ind w:left="207"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l</w:t>
            </w:r>
          </w:p>
          <w:p w:rsidR="00DA53C3" w:rsidRDefault="00000000">
            <w:pPr>
              <w:ind w:left="207"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ie</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Desfăşurarea practicilor, lecţiilor, excursiilor la întreprinderi</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17"/>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Implementarea proiectului de Orientare Profesională. </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48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programelor de formare a cadrelor didactice prin intermediul Secţiei de formare profesională continuă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337"/>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mese rotunde, ateliere de lucru, cu scopul promovării imaginii instituției ȘP com.Bubuieci și a secției formării continuă.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313"/>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cadre didactice din școlile profesionale cu tematică conform necesităților</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379"/>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pentru adulți,  cu tematică conform necesităților.</w:t>
            </w:r>
          </w:p>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339"/>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bottom w:val="single" w:sz="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Vizite de studiu realizate de profesori la întreprinderile partenere</w:t>
            </w:r>
          </w:p>
        </w:tc>
        <w:tc>
          <w:tcPr>
            <w:tcW w:w="1980" w:type="dxa"/>
            <w:tcBorders>
              <w:bottom w:val="single" w:sz="4"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07"/>
          <w:jc w:val="right"/>
        </w:trPr>
        <w:tc>
          <w:tcPr>
            <w:tcW w:w="930" w:type="dxa"/>
            <w:vMerge w:val="restart"/>
            <w:tcBorders>
              <w:top w:val="single" w:sz="4" w:space="0" w:color="000000"/>
            </w:tcBorders>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Ma</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Desfăşurarea practicilor, lecţiilor, excursiilor la întreprinderi</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558"/>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proiectului de Orientare Profesională.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339"/>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proiectului de Mobilitate academică.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415"/>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mese rotunde, ateliere de lucru, cu scopul promovării imaginii instituției ȘP com.Bubuieci  și a secției formării continuă.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26"/>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Curs de formare conform necesităților</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79"/>
          <w:jc w:val="right"/>
        </w:trPr>
        <w:tc>
          <w:tcPr>
            <w:tcW w:w="930" w:type="dxa"/>
            <w:vMerge/>
            <w:tcBorders>
              <w:top w:val="single" w:sz="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tcBorders>
              <w:bottom w:val="single" w:sz="2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2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vederea promovării imaginii ȘP com.Bubuieci și a specialităților. (Concursuri, excursii, lecții model, întâlniri cu experți)</w:t>
            </w:r>
          </w:p>
        </w:tc>
        <w:tc>
          <w:tcPr>
            <w:tcW w:w="1980" w:type="dxa"/>
            <w:tcBorders>
              <w:bottom w:val="single" w:sz="24"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DAIE</w:t>
            </w:r>
          </w:p>
        </w:tc>
      </w:tr>
      <w:tr w:rsidR="00DA53C3">
        <w:trPr>
          <w:trHeight w:val="355"/>
          <w:jc w:val="right"/>
        </w:trPr>
        <w:tc>
          <w:tcPr>
            <w:tcW w:w="930" w:type="dxa"/>
            <w:vMerge w:val="restart"/>
            <w:tcBorders>
              <w:top w:val="single" w:sz="24" w:space="0" w:color="000000"/>
            </w:tcBorders>
          </w:tcPr>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un</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w:t>
            </w:r>
          </w:p>
          <w:p w:rsidR="00DA53C3" w:rsidRDefault="00000000">
            <w:pPr>
              <w:ind w:right="113"/>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lastRenderedPageBreak/>
              <w:t>e</w:t>
            </w:r>
          </w:p>
        </w:tc>
        <w:tc>
          <w:tcPr>
            <w:tcW w:w="570" w:type="dxa"/>
            <w:tcBorders>
              <w:top w:val="single" w:sz="24" w:space="0" w:color="000000"/>
            </w:tcBorders>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2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Constituirea grupelor, în baza subiectelor anunțate și a graficului de formare</w:t>
            </w:r>
          </w:p>
        </w:tc>
        <w:tc>
          <w:tcPr>
            <w:tcW w:w="1980" w:type="dxa"/>
            <w:tcBorders>
              <w:top w:val="single" w:sz="24" w:space="0" w:color="000000"/>
            </w:tcBorders>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60"/>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programului de training și a materialelor necesare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352"/>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reprezentanţilor agenţilor economici în comisiile de evaluare.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203"/>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raportului de activitate a secției formare continuă</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20"/>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Prezentarea raportului în cadrul consiliului de administrație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427"/>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Vizite de studiu realizate de profesori la parteneri</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r w:rsidR="00DA53C3">
        <w:trPr>
          <w:trHeight w:val="60"/>
          <w:jc w:val="right"/>
        </w:trPr>
        <w:tc>
          <w:tcPr>
            <w:tcW w:w="930" w:type="dxa"/>
            <w:vMerge/>
            <w:tcBorders>
              <w:top w:val="single" w:sz="24" w:space="0" w:color="000000"/>
            </w:tcBorders>
          </w:tcPr>
          <w:p w:rsidR="00DA53C3" w:rsidRDefault="00DA53C3">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70" w:type="dxa"/>
            <w:vAlign w:val="center"/>
          </w:tcPr>
          <w:p w:rsidR="00DA53C3" w:rsidRDefault="00DA53C3">
            <w:pPr>
              <w:numPr>
                <w:ilvl w:val="0"/>
                <w:numId w:val="2"/>
              </w:numPr>
              <w:pBdr>
                <w:top w:val="nil"/>
                <w:left w:val="nil"/>
                <w:bottom w:val="nil"/>
                <w:right w:val="nil"/>
                <w:between w:val="nil"/>
              </w:pBdr>
              <w:spacing w:after="200" w:line="276" w:lineRule="auto"/>
              <w:ind w:left="0" w:firstLine="0"/>
              <w:jc w:val="center"/>
              <w:rPr>
                <w:rFonts w:ascii="Times New Roman" w:eastAsia="Times New Roman" w:hAnsi="Times New Roman" w:cs="Times New Roman"/>
                <w:color w:val="000000"/>
                <w:sz w:val="28"/>
                <w:szCs w:val="28"/>
              </w:rPr>
            </w:pPr>
          </w:p>
        </w:tc>
        <w:tc>
          <w:tcPr>
            <w:tcW w:w="6660" w:type="dxa"/>
            <w:tcBorders>
              <w:top w:val="single" w:sz="4" w:space="0" w:color="000000"/>
              <w:bottom w:val="single" w:sz="4" w:space="0" w:color="000000"/>
            </w:tcBorders>
            <w:vAlign w:val="center"/>
          </w:tcPr>
          <w:p w:rsidR="00DA53C3"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unui studiu privind necesitățile de formare a cadrelor didactice.</w:t>
            </w:r>
          </w:p>
        </w:tc>
        <w:tc>
          <w:tcPr>
            <w:tcW w:w="1980" w:type="dxa"/>
          </w:tcPr>
          <w:p w:rsidR="00DA53C3" w:rsidRDefault="00000000">
            <w:pPr>
              <w:rPr>
                <w:rFonts w:ascii="Times New Roman" w:eastAsia="Times New Roman" w:hAnsi="Times New Roman" w:cs="Times New Roman"/>
              </w:rPr>
            </w:pPr>
            <w:r>
              <w:rPr>
                <w:rFonts w:ascii="Times New Roman" w:eastAsia="Times New Roman" w:hAnsi="Times New Roman" w:cs="Times New Roman"/>
                <w:sz w:val="24"/>
                <w:szCs w:val="24"/>
              </w:rPr>
              <w:t>Șef secție practică</w:t>
            </w:r>
          </w:p>
        </w:tc>
      </w:tr>
    </w:tbl>
    <w:p w:rsidR="00DA53C3" w:rsidRDefault="00DA53C3">
      <w:pPr>
        <w:spacing w:after="0"/>
        <w:rPr>
          <w:rFonts w:ascii="Times New Roman" w:eastAsia="Times New Roman" w:hAnsi="Times New Roman" w:cs="Times New Roman"/>
          <w:sz w:val="28"/>
          <w:szCs w:val="28"/>
        </w:rPr>
      </w:pPr>
    </w:p>
    <w:p w:rsidR="00DA53C3" w:rsidRDefault="00DA53C3">
      <w:pPr>
        <w:spacing w:after="0"/>
        <w:rPr>
          <w:sz w:val="28"/>
          <w:szCs w:val="28"/>
        </w:rPr>
      </w:pPr>
    </w:p>
    <w:sectPr w:rsidR="00DA53C3">
      <w:footerReference w:type="default" r:id="rId9"/>
      <w:pgSz w:w="11906" w:h="16838"/>
      <w:pgMar w:top="851" w:right="993" w:bottom="1134"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7EC5" w:rsidRDefault="00927EC5">
      <w:pPr>
        <w:spacing w:after="0" w:line="240" w:lineRule="auto"/>
      </w:pPr>
      <w:r>
        <w:separator/>
      </w:r>
    </w:p>
  </w:endnote>
  <w:endnote w:type="continuationSeparator" w:id="0">
    <w:p w:rsidR="00927EC5" w:rsidRDefault="0092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53C3" w:rsidRDefault="00000000">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6219B">
      <w:rPr>
        <w:noProof/>
        <w:color w:val="000000"/>
      </w:rPr>
      <w:t>2</w:t>
    </w:r>
    <w:r>
      <w:rPr>
        <w:color w:val="000000"/>
      </w:rPr>
      <w:fldChar w:fldCharType="end"/>
    </w:r>
  </w:p>
  <w:p w:rsidR="00DA53C3" w:rsidRDefault="00DA53C3">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7EC5" w:rsidRDefault="00927EC5">
      <w:pPr>
        <w:spacing w:after="0" w:line="240" w:lineRule="auto"/>
      </w:pPr>
      <w:r>
        <w:separator/>
      </w:r>
    </w:p>
  </w:footnote>
  <w:footnote w:type="continuationSeparator" w:id="0">
    <w:p w:rsidR="00927EC5" w:rsidRDefault="00927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75CE3"/>
    <w:multiLevelType w:val="multilevel"/>
    <w:tmpl w:val="7CBE068C"/>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DC73D3"/>
    <w:multiLevelType w:val="multilevel"/>
    <w:tmpl w:val="5A280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8936466">
    <w:abstractNumId w:val="0"/>
  </w:num>
  <w:num w:numId="2" w16cid:durableId="50694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C3"/>
    <w:rsid w:val="0026219B"/>
    <w:rsid w:val="00927EC5"/>
    <w:rsid w:val="00DA53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EB57"/>
  <w15:docId w15:val="{F262E324-333A-4DEA-909A-B98BF079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semiHidden/>
    <w:unhideWhenUsed/>
    <w:qFormat/>
    <w:pPr>
      <w:keepNext/>
      <w:keepLines/>
      <w:spacing w:before="360" w:after="80"/>
      <w:outlineLvl w:val="1"/>
    </w:pPr>
    <w:rPr>
      <w:b/>
      <w:sz w:val="36"/>
      <w:szCs w:val="36"/>
    </w:rPr>
  </w:style>
  <w:style w:type="paragraph" w:styleId="Titlu3">
    <w:name w:val="heading 3"/>
    <w:basedOn w:val="Normal"/>
    <w:next w:val="Normal"/>
    <w:uiPriority w:val="9"/>
    <w:semiHidden/>
    <w:unhideWhenUsed/>
    <w:qFormat/>
    <w:pPr>
      <w:keepNext/>
      <w:keepLines/>
      <w:spacing w:before="280" w:after="80"/>
      <w:outlineLvl w:val="2"/>
    </w:pPr>
    <w:rPr>
      <w:b/>
      <w:sz w:val="28"/>
      <w:szCs w:val="28"/>
    </w:rPr>
  </w:style>
  <w:style w:type="paragraph" w:styleId="Titlu4">
    <w:name w:val="heading 4"/>
    <w:basedOn w:val="Normal"/>
    <w:next w:val="Normal"/>
    <w:uiPriority w:val="9"/>
    <w:semiHidden/>
    <w:unhideWhenUsed/>
    <w:qFormat/>
    <w:pPr>
      <w:keepNext/>
      <w:keepLines/>
      <w:spacing w:before="240" w:after="40"/>
      <w:outlineLvl w:val="3"/>
    </w:pPr>
    <w:rPr>
      <w:b/>
      <w:sz w:val="24"/>
      <w:szCs w:val="24"/>
    </w:rPr>
  </w:style>
  <w:style w:type="paragraph" w:styleId="Titlu5">
    <w:name w:val="heading 5"/>
    <w:basedOn w:val="Normal"/>
    <w:next w:val="Normal"/>
    <w:uiPriority w:val="9"/>
    <w:semiHidden/>
    <w:unhideWhenUsed/>
    <w:qFormat/>
    <w:pPr>
      <w:keepNext/>
      <w:keepLines/>
      <w:spacing w:before="220" w:after="40"/>
      <w:outlineLvl w:val="4"/>
    </w:pPr>
    <w:rPr>
      <w:b/>
    </w:rPr>
  </w:style>
  <w:style w:type="paragraph" w:styleId="Titlu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Tabelgril">
    <w:name w:val="Table Grid"/>
    <w:basedOn w:val="TabelNormal"/>
    <w:uiPriority w:val="59"/>
    <w:rsid w:val="00784B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DE552D"/>
    <w:pPr>
      <w:ind w:left="720"/>
      <w:contextualSpacing/>
    </w:pPr>
  </w:style>
  <w:style w:type="paragraph" w:styleId="Antet">
    <w:name w:val="header"/>
    <w:basedOn w:val="Normal"/>
    <w:link w:val="AntetCaracter"/>
    <w:uiPriority w:val="99"/>
    <w:unhideWhenUsed/>
    <w:rsid w:val="000075E6"/>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0075E6"/>
  </w:style>
  <w:style w:type="paragraph" w:styleId="Subsol">
    <w:name w:val="footer"/>
    <w:basedOn w:val="Normal"/>
    <w:link w:val="SubsolCaracter"/>
    <w:uiPriority w:val="99"/>
    <w:unhideWhenUsed/>
    <w:rsid w:val="000075E6"/>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0075E6"/>
  </w:style>
  <w:style w:type="character" w:customStyle="1" w:styleId="apple-converted-space">
    <w:name w:val="apple-converted-space"/>
    <w:basedOn w:val="Fontdeparagrafimplicit"/>
    <w:rsid w:val="0058603E"/>
  </w:style>
  <w:style w:type="character" w:styleId="Robust">
    <w:name w:val="Strong"/>
    <w:basedOn w:val="Fontdeparagrafimplicit"/>
    <w:uiPriority w:val="22"/>
    <w:qFormat/>
    <w:rsid w:val="0058603E"/>
    <w:rPr>
      <w:b/>
      <w:bCs/>
    </w:rPr>
  </w:style>
  <w:style w:type="paragraph" w:styleId="TextnBalon">
    <w:name w:val="Balloon Text"/>
    <w:basedOn w:val="Normal"/>
    <w:link w:val="TextnBalonCaracter"/>
    <w:uiPriority w:val="99"/>
    <w:semiHidden/>
    <w:unhideWhenUsed/>
    <w:rsid w:val="008C1F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C1F6D"/>
    <w:rPr>
      <w:rFonts w:ascii="Tahoma" w:hAnsi="Tahoma" w:cs="Tahoma"/>
      <w:sz w:val="16"/>
      <w:szCs w:val="16"/>
    </w:rPr>
  </w:style>
  <w:style w:type="paragraph" w:styleId="Subtitlu">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3"/>
    <w:pPr>
      <w:spacing w:after="0" w:line="240" w:lineRule="auto"/>
    </w:pPr>
    <w:tblPr>
      <w:tblStyleRowBandSize w:val="1"/>
      <w:tblStyleColBandSize w:val="1"/>
      <w:tblCellMar>
        <w:left w:w="108" w:type="dxa"/>
        <w:right w:w="108" w:type="dxa"/>
      </w:tblCellMar>
    </w:tblPr>
  </w:style>
  <w:style w:type="table" w:customStyle="1" w:styleId="a6">
    <w:basedOn w:val="TableNormal3"/>
    <w:pPr>
      <w:spacing w:after="0" w:line="240" w:lineRule="auto"/>
    </w:pPr>
    <w:tblPr>
      <w:tblStyleRowBandSize w:val="1"/>
      <w:tblStyleColBandSize w:val="1"/>
      <w:tblCellMar>
        <w:left w:w="108" w:type="dxa"/>
        <w:right w:w="108" w:type="dxa"/>
      </w:tblCellMar>
    </w:tblPr>
  </w:style>
  <w:style w:type="table" w:customStyle="1" w:styleId="a7">
    <w:basedOn w:val="TableNormal3"/>
    <w:pPr>
      <w:spacing w:after="0" w:line="240" w:lineRule="auto"/>
    </w:pPr>
    <w:tblPr>
      <w:tblStyleRowBandSize w:val="1"/>
      <w:tblStyleColBandSize w:val="1"/>
      <w:tblCellMar>
        <w:left w:w="108" w:type="dxa"/>
        <w:right w:w="108" w:type="dxa"/>
      </w:tblCellMar>
    </w:tblPr>
  </w:style>
  <w:style w:type="table" w:customStyle="1" w:styleId="a8">
    <w:basedOn w:val="TableNormal3"/>
    <w:pPr>
      <w:spacing w:after="0" w:line="240" w:lineRule="auto"/>
    </w:pPr>
    <w:tblPr>
      <w:tblStyleRowBandSize w:val="1"/>
      <w:tblStyleColBandSize w:val="1"/>
      <w:tblCellMar>
        <w:left w:w="108" w:type="dxa"/>
        <w:right w:w="108" w:type="dxa"/>
      </w:tblCellMar>
    </w:tblPr>
  </w:style>
  <w:style w:type="table" w:customStyle="1" w:styleId="a9">
    <w:basedOn w:val="TableNormal3"/>
    <w:pPr>
      <w:spacing w:after="0" w:line="240" w:lineRule="auto"/>
    </w:pPr>
    <w:tblPr>
      <w:tblStyleRowBandSize w:val="1"/>
      <w:tblStyleColBandSize w:val="1"/>
      <w:tblCellMar>
        <w:left w:w="108" w:type="dxa"/>
        <w:right w:w="108" w:type="dxa"/>
      </w:tblCellMar>
    </w:tblPr>
  </w:style>
  <w:style w:type="table" w:customStyle="1" w:styleId="aa">
    <w:basedOn w:val="TableNormal3"/>
    <w:pPr>
      <w:spacing w:after="0" w:line="240" w:lineRule="auto"/>
    </w:pPr>
    <w:tblPr>
      <w:tblStyleRowBandSize w:val="1"/>
      <w:tblStyleColBandSize w:val="1"/>
      <w:tblCellMar>
        <w:left w:w="108" w:type="dxa"/>
        <w:right w:w="108" w:type="dxa"/>
      </w:tblCellMar>
    </w:tbl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xj8kQ9M0/O2mYDVWawPWN93lg==">AMUW2mUSEZlni5hADW9rgkqPOvP6g9aTKiRU2DTsDFkXavKOXcYc2/amtztdGesDIW9KfD4IMlbomysq/Z1k2u3i8odP9e9TIm4cSLaR1JZqWWV4Ra9USQ/ynozPic7u3C/1DIRoaboj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7809</Characters>
  <Application>Microsoft Office Word</Application>
  <DocSecurity>0</DocSecurity>
  <Lines>65</Lines>
  <Paragraphs>18</Paragraphs>
  <ScaleCrop>false</ScaleCrop>
  <Company/>
  <LinksUpToDate>false</LinksUpToDate>
  <CharactersWithSpaces>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SPBubuieci</cp:lastModifiedBy>
  <cp:revision>2</cp:revision>
  <dcterms:created xsi:type="dcterms:W3CDTF">2019-09-11T11:35:00Z</dcterms:created>
  <dcterms:modified xsi:type="dcterms:W3CDTF">2022-10-10T12:37:00Z</dcterms:modified>
</cp:coreProperties>
</file>